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F3" w:rsidRPr="006A14D6" w:rsidRDefault="004F4BF3" w:rsidP="004F4BF3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 ЗАКАЗЧИК:</w:t>
      </w:r>
    </w:p>
    <w:p w:rsidR="004F4BF3" w:rsidRPr="006A14D6" w:rsidRDefault="004F4BF3" w:rsidP="004F4BF3">
      <w:pPr>
        <w:jc w:val="right"/>
        <w:rPr>
          <w:sz w:val="20"/>
          <w:szCs w:val="20"/>
        </w:rPr>
      </w:pPr>
      <w:r>
        <w:rPr>
          <w:sz w:val="20"/>
          <w:szCs w:val="20"/>
        </w:rPr>
        <w:t>И.о. ректора</w:t>
      </w:r>
      <w:r w:rsidRPr="006A14D6">
        <w:rPr>
          <w:sz w:val="20"/>
          <w:szCs w:val="20"/>
        </w:rPr>
        <w:t xml:space="preserve"> ФГБОУ ВО «БрГУ»</w:t>
      </w:r>
    </w:p>
    <w:p w:rsidR="004F4BF3" w:rsidRPr="006A14D6" w:rsidRDefault="004F4BF3" w:rsidP="004F4BF3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_________</w:t>
      </w:r>
      <w:r>
        <w:rPr>
          <w:sz w:val="20"/>
          <w:szCs w:val="20"/>
        </w:rPr>
        <w:t>В.А. Иванов</w:t>
      </w:r>
    </w:p>
    <w:p w:rsidR="004F4BF3" w:rsidRPr="006A14D6" w:rsidRDefault="004F4BF3" w:rsidP="004F4BF3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>
        <w:rPr>
          <w:b w:val="0"/>
          <w:bCs w:val="0"/>
          <w:sz w:val="20"/>
          <w:szCs w:val="20"/>
        </w:rPr>
        <w:t>28</w:t>
      </w:r>
      <w:r w:rsidRPr="006A14D6">
        <w:rPr>
          <w:b w:val="0"/>
          <w:bCs w:val="0"/>
          <w:sz w:val="20"/>
          <w:szCs w:val="20"/>
        </w:rPr>
        <w:t xml:space="preserve">» </w:t>
      </w:r>
      <w:r>
        <w:rPr>
          <w:b w:val="0"/>
          <w:bCs w:val="0"/>
          <w:sz w:val="20"/>
          <w:szCs w:val="20"/>
        </w:rPr>
        <w:t>октября</w:t>
      </w:r>
      <w:r w:rsidRPr="006A14D6">
        <w:rPr>
          <w:b w:val="0"/>
          <w:bCs w:val="0"/>
          <w:sz w:val="20"/>
          <w:szCs w:val="20"/>
        </w:rPr>
        <w:t xml:space="preserve"> 20</w:t>
      </w:r>
      <w:r>
        <w:rPr>
          <w:b w:val="0"/>
          <w:bCs w:val="0"/>
          <w:sz w:val="20"/>
          <w:szCs w:val="20"/>
        </w:rPr>
        <w:t>20</w:t>
      </w:r>
      <w:r w:rsidRPr="006A14D6">
        <w:rPr>
          <w:b w:val="0"/>
          <w:bCs w:val="0"/>
          <w:sz w:val="20"/>
          <w:szCs w:val="20"/>
        </w:rPr>
        <w:t xml:space="preserve"> г.</w:t>
      </w:r>
    </w:p>
    <w:p w:rsidR="004F4BF3" w:rsidRDefault="004F4BF3" w:rsidP="004F4BF3">
      <w:pPr>
        <w:pStyle w:val="a4"/>
        <w:rPr>
          <w:sz w:val="20"/>
          <w:szCs w:val="20"/>
        </w:rPr>
      </w:pPr>
    </w:p>
    <w:p w:rsidR="004F4BF3" w:rsidRPr="006A14D6" w:rsidRDefault="004F4BF3" w:rsidP="004F4BF3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 О ПРОВЕДЕНИИ ОТКРЫТОГО ЗАПРОСА КОТИРОВОК</w:t>
      </w:r>
      <w:r>
        <w:rPr>
          <w:sz w:val="20"/>
          <w:szCs w:val="20"/>
        </w:rPr>
        <w:br/>
      </w:r>
      <w:r w:rsidRPr="006A14D6">
        <w:rPr>
          <w:sz w:val="20"/>
          <w:szCs w:val="20"/>
        </w:rPr>
        <w:t>В ЭЛЕКТРОННОЙ ФОРМЕ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 xml:space="preserve">№ </w:t>
      </w:r>
      <w:r>
        <w:rPr>
          <w:sz w:val="20"/>
          <w:szCs w:val="20"/>
        </w:rPr>
        <w:t>84</w:t>
      </w:r>
      <w:r w:rsidRPr="006A14D6">
        <w:rPr>
          <w:sz w:val="20"/>
          <w:szCs w:val="20"/>
        </w:rPr>
        <w:t>-ЗК от «</w:t>
      </w:r>
      <w:r>
        <w:rPr>
          <w:sz w:val="20"/>
          <w:szCs w:val="20"/>
        </w:rPr>
        <w:t>28</w:t>
      </w:r>
      <w:r w:rsidRPr="006A14D6">
        <w:rPr>
          <w:sz w:val="20"/>
          <w:szCs w:val="20"/>
        </w:rPr>
        <w:t xml:space="preserve">» </w:t>
      </w:r>
      <w:r>
        <w:rPr>
          <w:sz w:val="20"/>
          <w:szCs w:val="20"/>
        </w:rPr>
        <w:t>октября</w:t>
      </w:r>
      <w:r w:rsidRPr="006A14D6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</w:t>
      </w:r>
    </w:p>
    <w:p w:rsidR="004F4BF3" w:rsidRPr="006A14D6" w:rsidRDefault="004F4BF3" w:rsidP="004F4BF3">
      <w:pPr>
        <w:rPr>
          <w:sz w:val="20"/>
          <w:szCs w:val="20"/>
        </w:rPr>
      </w:pPr>
    </w:p>
    <w:p w:rsidR="004F4BF3" w:rsidRPr="006A14D6" w:rsidRDefault="004F4BF3" w:rsidP="004F4BF3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 в электронной форме</w:t>
      </w:r>
      <w:r>
        <w:rPr>
          <w:b/>
          <w:bCs/>
          <w:sz w:val="20"/>
          <w:szCs w:val="20"/>
        </w:rPr>
        <w:t xml:space="preserve"> </w:t>
      </w:r>
      <w:r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Заказчиком:</w:t>
      </w:r>
    </w:p>
    <w:p w:rsidR="004F4BF3" w:rsidRPr="006A14D6" w:rsidRDefault="004F4BF3" w:rsidP="004F4BF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Заказчика: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государственный университет» (ФГБОУ ВО «БрГУ»).</w:t>
      </w:r>
    </w:p>
    <w:p w:rsidR="004F4BF3" w:rsidRPr="006A14D6" w:rsidRDefault="004F4BF3" w:rsidP="004F4BF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>. Братск, жилой район Эне</w:t>
      </w:r>
      <w:r w:rsidRPr="006A14D6">
        <w:rPr>
          <w:sz w:val="20"/>
          <w:szCs w:val="20"/>
        </w:rPr>
        <w:t>р</w:t>
      </w:r>
      <w:r w:rsidRPr="006A14D6">
        <w:rPr>
          <w:sz w:val="20"/>
          <w:szCs w:val="20"/>
        </w:rPr>
        <w:t>гетик, ул. Макаренко, д. 40.</w:t>
      </w:r>
    </w:p>
    <w:p w:rsidR="004F4BF3" w:rsidRPr="006A14D6" w:rsidRDefault="004F4BF3" w:rsidP="004F4BF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Начальник Контрактной службы: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344-000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 xml:space="preserve">тронной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Pr="006A14D6">
        <w:rPr>
          <w:sz w:val="20"/>
          <w:szCs w:val="20"/>
        </w:rPr>
        <w:t>.</w:t>
      </w:r>
    </w:p>
    <w:p w:rsidR="004F4BF3" w:rsidRPr="006A14D6" w:rsidRDefault="004F4BF3" w:rsidP="004F4BF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>
        <w:rPr>
          <w:sz w:val="20"/>
          <w:szCs w:val="20"/>
        </w:rPr>
        <w:t xml:space="preserve">344-000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4F4BF3" w:rsidRPr="000F1C95" w:rsidRDefault="004F4BF3" w:rsidP="004F4BF3">
      <w:pPr>
        <w:tabs>
          <w:tab w:val="left" w:pos="5760"/>
        </w:tabs>
        <w:jc w:val="center"/>
        <w:rPr>
          <w:sz w:val="14"/>
          <w:szCs w:val="20"/>
        </w:rPr>
      </w:pPr>
    </w:p>
    <w:p w:rsidR="004F4BF3" w:rsidRPr="006A14D6" w:rsidRDefault="004F4BF3" w:rsidP="004F4BF3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Pr="006A14D6">
        <w:rPr>
          <w:b/>
          <w:bCs/>
          <w:sz w:val="20"/>
          <w:szCs w:val="20"/>
        </w:rPr>
        <w:t xml:space="preserve">Источник финансирования: </w:t>
      </w:r>
      <w:r w:rsidRPr="006A14D6">
        <w:rPr>
          <w:bCs/>
          <w:sz w:val="20"/>
          <w:szCs w:val="20"/>
        </w:rPr>
        <w:t>вне</w:t>
      </w:r>
      <w:r w:rsidRPr="006A14D6">
        <w:rPr>
          <w:sz w:val="20"/>
          <w:szCs w:val="20"/>
        </w:rPr>
        <w:t>бюджетные средства</w:t>
      </w:r>
      <w:r>
        <w:rPr>
          <w:sz w:val="20"/>
          <w:szCs w:val="20"/>
        </w:rPr>
        <w:t xml:space="preserve"> ФГБОУ ВО «БрГУ»</w:t>
      </w:r>
      <w:r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84BBE">
        <w:rPr>
          <w:bCs/>
          <w:sz w:val="20"/>
          <w:szCs w:val="20"/>
        </w:rPr>
        <w:t xml:space="preserve"> – мясо</w:t>
      </w:r>
      <w:r w:rsidR="00B657B2">
        <w:rPr>
          <w:bCs/>
          <w:sz w:val="20"/>
          <w:szCs w:val="20"/>
        </w:rPr>
        <w:t xml:space="preserve"> птицы </w:t>
      </w:r>
      <w:r w:rsidR="001D1414">
        <w:rPr>
          <w:bCs/>
          <w:sz w:val="20"/>
          <w:szCs w:val="20"/>
        </w:rPr>
        <w:t>для нужд столовой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4F4BF3">
        <w:rPr>
          <w:b/>
          <w:bCs/>
          <w:sz w:val="20"/>
          <w:szCs w:val="20"/>
        </w:rPr>
        <w:t>декабря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C84BBE" w:rsidRPr="00D3770C" w:rsidTr="00C84BBE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561C">
              <w:rPr>
                <w:sz w:val="20"/>
                <w:szCs w:val="20"/>
              </w:rPr>
              <w:t>/</w:t>
            </w:r>
            <w:proofErr w:type="spellStart"/>
            <w:r w:rsidRPr="005156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Ед. </w:t>
            </w:r>
            <w:proofErr w:type="spellStart"/>
            <w:r w:rsidRPr="0051561C">
              <w:rPr>
                <w:sz w:val="20"/>
                <w:szCs w:val="20"/>
              </w:rPr>
              <w:t>изм</w:t>
            </w:r>
            <w:proofErr w:type="spellEnd"/>
            <w:r w:rsidRPr="0051561C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4F4BF3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4F4BF3" w:rsidRPr="0051561C" w:rsidRDefault="004F4BF3" w:rsidP="004F4BF3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F4BF3" w:rsidRPr="005D5CCB" w:rsidRDefault="004F4BF3" w:rsidP="004F4BF3">
            <w:pPr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10.12.</w:t>
            </w:r>
            <w:r>
              <w:rPr>
                <w:sz w:val="20"/>
                <w:szCs w:val="20"/>
              </w:rPr>
              <w:t>1</w:t>
            </w:r>
            <w:r w:rsidRPr="005D5CCB">
              <w:rPr>
                <w:sz w:val="20"/>
                <w:szCs w:val="20"/>
              </w:rPr>
              <w:t>0.110</w:t>
            </w:r>
          </w:p>
        </w:tc>
        <w:tc>
          <w:tcPr>
            <w:tcW w:w="1134" w:type="dxa"/>
            <w:vAlign w:val="center"/>
          </w:tcPr>
          <w:p w:rsidR="004F4BF3" w:rsidRPr="005D5CCB" w:rsidRDefault="004F4BF3" w:rsidP="004F4BF3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10.12</w:t>
            </w:r>
          </w:p>
        </w:tc>
        <w:tc>
          <w:tcPr>
            <w:tcW w:w="1772" w:type="dxa"/>
            <w:vAlign w:val="center"/>
          </w:tcPr>
          <w:p w:rsidR="004F4BF3" w:rsidRDefault="004F4BF3" w:rsidP="004F4B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Окорочка</w:t>
            </w:r>
            <w:proofErr w:type="spellEnd"/>
          </w:p>
          <w:p w:rsidR="004F4BF3" w:rsidRPr="005D5CCB" w:rsidRDefault="004F4BF3" w:rsidP="004F4BF3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кур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</w:t>
            </w:r>
          </w:p>
        </w:tc>
        <w:tc>
          <w:tcPr>
            <w:tcW w:w="3615" w:type="dxa"/>
          </w:tcPr>
          <w:p w:rsidR="004F4BF3" w:rsidRPr="005D5CCB" w:rsidRDefault="004F4BF3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Вид продукции – полуфабрикат, мясо пт</w:t>
            </w:r>
            <w:r w:rsidRPr="005D5CCB">
              <w:rPr>
                <w:sz w:val="18"/>
                <w:szCs w:val="20"/>
              </w:rPr>
              <w:t>и</w:t>
            </w:r>
            <w:r w:rsidRPr="005D5CCB">
              <w:rPr>
                <w:sz w:val="18"/>
                <w:szCs w:val="20"/>
              </w:rPr>
              <w:t xml:space="preserve">цы, промышленный забой, </w:t>
            </w:r>
            <w:r>
              <w:rPr>
                <w:sz w:val="18"/>
                <w:szCs w:val="20"/>
              </w:rPr>
              <w:t>с</w:t>
            </w:r>
            <w:r w:rsidRPr="005D5CCB">
              <w:rPr>
                <w:sz w:val="18"/>
                <w:szCs w:val="20"/>
              </w:rPr>
              <w:t xml:space="preserve"> кост</w:t>
            </w:r>
            <w:r>
              <w:rPr>
                <w:sz w:val="18"/>
                <w:szCs w:val="20"/>
              </w:rPr>
              <w:t>ью</w:t>
            </w:r>
            <w:r w:rsidRPr="005D5CCB">
              <w:rPr>
                <w:sz w:val="18"/>
                <w:szCs w:val="20"/>
              </w:rPr>
              <w:t>, охл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жденное</w:t>
            </w:r>
            <w:r>
              <w:rPr>
                <w:sz w:val="18"/>
                <w:szCs w:val="20"/>
              </w:rPr>
              <w:t xml:space="preserve"> или </w:t>
            </w:r>
            <w:proofErr w:type="spellStart"/>
            <w:r>
              <w:rPr>
                <w:sz w:val="18"/>
                <w:szCs w:val="20"/>
              </w:rPr>
              <w:t>замороженое</w:t>
            </w:r>
            <w:proofErr w:type="spellEnd"/>
            <w:r w:rsidRPr="005D5CCB">
              <w:rPr>
                <w:sz w:val="18"/>
                <w:szCs w:val="20"/>
              </w:rPr>
              <w:t>.</w:t>
            </w:r>
          </w:p>
          <w:p w:rsidR="004F4BF3" w:rsidRPr="005D5CCB" w:rsidRDefault="004F4BF3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тенком.</w:t>
            </w:r>
          </w:p>
          <w:p w:rsidR="004F4BF3" w:rsidRPr="005D5CCB" w:rsidRDefault="004F4BF3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4F4BF3" w:rsidRPr="005D5CCB" w:rsidRDefault="004F4BF3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4F4BF3" w:rsidRPr="005D5CCB" w:rsidRDefault="004F4BF3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Упаковка – фасовочный п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кет</w:t>
            </w:r>
            <w:r>
              <w:rPr>
                <w:sz w:val="18"/>
                <w:szCs w:val="20"/>
              </w:rPr>
              <w:t xml:space="preserve"> и картонная коробка</w:t>
            </w:r>
            <w:r w:rsidRPr="005D5CCB">
              <w:rPr>
                <w:sz w:val="18"/>
                <w:szCs w:val="20"/>
              </w:rPr>
              <w:t>.</w:t>
            </w:r>
          </w:p>
          <w:p w:rsidR="004F4BF3" w:rsidRPr="005D5CCB" w:rsidRDefault="004F4BF3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Соответствие ГОСТ 31962-2013.</w:t>
            </w:r>
          </w:p>
        </w:tc>
        <w:tc>
          <w:tcPr>
            <w:tcW w:w="1134" w:type="dxa"/>
            <w:vAlign w:val="center"/>
          </w:tcPr>
          <w:p w:rsidR="004F4BF3" w:rsidRPr="005D5CCB" w:rsidRDefault="004F4BF3" w:rsidP="004F4BF3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4F4BF3" w:rsidRPr="00783B13" w:rsidRDefault="004F4BF3" w:rsidP="004F4BF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B657B2" w:rsidRPr="00D3770C" w:rsidTr="00C84BBE">
        <w:trPr>
          <w:trHeight w:val="132"/>
          <w:jc w:val="center"/>
        </w:trPr>
        <w:tc>
          <w:tcPr>
            <w:tcW w:w="560" w:type="dxa"/>
            <w:vAlign w:val="center"/>
          </w:tcPr>
          <w:p w:rsidR="00B657B2" w:rsidRPr="0051561C" w:rsidRDefault="00B657B2" w:rsidP="004F4BF3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657B2" w:rsidRPr="005D5CCB" w:rsidRDefault="00B657B2" w:rsidP="004F4BF3">
            <w:pPr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10.12.</w:t>
            </w:r>
            <w:r>
              <w:rPr>
                <w:sz w:val="20"/>
                <w:szCs w:val="20"/>
              </w:rPr>
              <w:t>1</w:t>
            </w:r>
            <w:r w:rsidRPr="005D5CCB">
              <w:rPr>
                <w:sz w:val="20"/>
                <w:szCs w:val="20"/>
              </w:rPr>
              <w:t>0.110</w:t>
            </w:r>
          </w:p>
        </w:tc>
        <w:tc>
          <w:tcPr>
            <w:tcW w:w="1134" w:type="dxa"/>
            <w:vAlign w:val="center"/>
          </w:tcPr>
          <w:p w:rsidR="00B657B2" w:rsidRPr="005D5CCB" w:rsidRDefault="00B657B2" w:rsidP="004F4BF3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10.12</w:t>
            </w:r>
          </w:p>
        </w:tc>
        <w:tc>
          <w:tcPr>
            <w:tcW w:w="1772" w:type="dxa"/>
            <w:vAlign w:val="center"/>
          </w:tcPr>
          <w:p w:rsidR="00B657B2" w:rsidRPr="005D5CCB" w:rsidRDefault="004F4BF3" w:rsidP="004F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Грудка</w:t>
            </w:r>
            <w:r w:rsidR="00B657B2" w:rsidRPr="005D5CCB">
              <w:rPr>
                <w:sz w:val="20"/>
                <w:szCs w:val="20"/>
              </w:rPr>
              <w:t xml:space="preserve"> кур</w:t>
            </w:r>
            <w:r>
              <w:rPr>
                <w:sz w:val="20"/>
                <w:szCs w:val="20"/>
              </w:rPr>
              <w:t>иная</w:t>
            </w:r>
          </w:p>
        </w:tc>
        <w:tc>
          <w:tcPr>
            <w:tcW w:w="3615" w:type="dxa"/>
          </w:tcPr>
          <w:p w:rsidR="00B657B2" w:rsidRPr="005D5CCB" w:rsidRDefault="00B657B2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Вид продукции – полуфабрикат, мясо пт</w:t>
            </w:r>
            <w:r w:rsidRPr="005D5CCB">
              <w:rPr>
                <w:sz w:val="18"/>
                <w:szCs w:val="20"/>
              </w:rPr>
              <w:t>и</w:t>
            </w:r>
            <w:r w:rsidRPr="005D5CCB">
              <w:rPr>
                <w:sz w:val="18"/>
                <w:szCs w:val="20"/>
              </w:rPr>
              <w:t xml:space="preserve">цы, промышленный забой, </w:t>
            </w:r>
            <w:r w:rsidR="004F4BF3">
              <w:rPr>
                <w:sz w:val="18"/>
                <w:szCs w:val="20"/>
              </w:rPr>
              <w:t>с</w:t>
            </w:r>
            <w:r w:rsidRPr="005D5CCB">
              <w:rPr>
                <w:sz w:val="18"/>
                <w:szCs w:val="20"/>
              </w:rPr>
              <w:t xml:space="preserve"> кост</w:t>
            </w:r>
            <w:r w:rsidR="004F4BF3">
              <w:rPr>
                <w:sz w:val="18"/>
                <w:szCs w:val="20"/>
              </w:rPr>
              <w:t>ью</w:t>
            </w:r>
            <w:r w:rsidRPr="005D5CCB">
              <w:rPr>
                <w:sz w:val="18"/>
                <w:szCs w:val="20"/>
              </w:rPr>
              <w:t>, охл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жденное</w:t>
            </w:r>
            <w:r w:rsidR="004F4BF3">
              <w:rPr>
                <w:sz w:val="18"/>
                <w:szCs w:val="20"/>
              </w:rPr>
              <w:t xml:space="preserve"> или замороженное</w:t>
            </w:r>
            <w:r w:rsidRPr="005D5CCB">
              <w:rPr>
                <w:sz w:val="18"/>
                <w:szCs w:val="20"/>
              </w:rPr>
              <w:t>.</w:t>
            </w:r>
          </w:p>
          <w:p w:rsidR="00B657B2" w:rsidRPr="005D5CCB" w:rsidRDefault="00B657B2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тенком.</w:t>
            </w:r>
          </w:p>
          <w:p w:rsidR="00B657B2" w:rsidRPr="005D5CCB" w:rsidRDefault="00B657B2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B657B2" w:rsidRPr="005D5CCB" w:rsidRDefault="00B657B2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B657B2" w:rsidRPr="005D5CCB" w:rsidRDefault="00B657B2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Упаковка – подложка</w:t>
            </w:r>
            <w:r w:rsidR="004F4BF3">
              <w:rPr>
                <w:sz w:val="18"/>
                <w:szCs w:val="20"/>
              </w:rPr>
              <w:t>,</w:t>
            </w:r>
            <w:r w:rsidRPr="005D5CCB">
              <w:rPr>
                <w:sz w:val="18"/>
                <w:szCs w:val="20"/>
              </w:rPr>
              <w:t xml:space="preserve"> фасовочный п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кет</w:t>
            </w:r>
            <w:r w:rsidR="004F4BF3">
              <w:rPr>
                <w:sz w:val="18"/>
                <w:szCs w:val="20"/>
              </w:rPr>
              <w:t xml:space="preserve"> или картонная коробка</w:t>
            </w:r>
            <w:r w:rsidRPr="005D5CCB">
              <w:rPr>
                <w:sz w:val="18"/>
                <w:szCs w:val="20"/>
              </w:rPr>
              <w:t>.</w:t>
            </w:r>
          </w:p>
          <w:p w:rsidR="00B657B2" w:rsidRPr="005D5CCB" w:rsidRDefault="00B657B2" w:rsidP="004F4BF3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Соответствие ГОСТ 31962-2013.</w:t>
            </w:r>
          </w:p>
        </w:tc>
        <w:tc>
          <w:tcPr>
            <w:tcW w:w="1134" w:type="dxa"/>
            <w:vAlign w:val="center"/>
          </w:tcPr>
          <w:p w:rsidR="00B657B2" w:rsidRPr="005D5CCB" w:rsidRDefault="00B657B2" w:rsidP="004F4BF3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B657B2" w:rsidRPr="0051561C" w:rsidRDefault="004F4BF3" w:rsidP="004F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lastRenderedPageBreak/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335F13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4F4BF3">
        <w:rPr>
          <w:b/>
          <w:color w:val="FF0000"/>
          <w:sz w:val="20"/>
          <w:szCs w:val="20"/>
        </w:rPr>
        <w:t>76 516,</w:t>
      </w:r>
      <w:r w:rsidR="00184E05">
        <w:rPr>
          <w:b/>
          <w:color w:val="FF0000"/>
          <w:sz w:val="20"/>
          <w:szCs w:val="20"/>
        </w:rPr>
        <w:t>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6834C7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4F4BF3">
        <w:rPr>
          <w:i/>
          <w:sz w:val="20"/>
          <w:szCs w:val="20"/>
        </w:rPr>
        <w:t>семьдесят шесть</w:t>
      </w:r>
      <w:r w:rsidR="00184E05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тысяч</w:t>
      </w:r>
      <w:r w:rsidR="004F4BF3">
        <w:rPr>
          <w:i/>
          <w:sz w:val="20"/>
          <w:szCs w:val="20"/>
        </w:rPr>
        <w:t xml:space="preserve"> пятьсот шестнадцать</w:t>
      </w:r>
      <w:r w:rsidR="003F2D81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6834C7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4F4BF3" w:rsidRPr="008A4E15" w:rsidTr="00C71E3A">
        <w:trPr>
          <w:trHeight w:val="257"/>
        </w:trPr>
        <w:tc>
          <w:tcPr>
            <w:tcW w:w="2802" w:type="dxa"/>
            <w:vAlign w:val="center"/>
          </w:tcPr>
          <w:p w:rsidR="004F4BF3" w:rsidRPr="005D5CCB" w:rsidRDefault="004F4BF3" w:rsidP="004F4B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Окорочка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D5CCB">
              <w:rPr>
                <w:sz w:val="20"/>
                <w:szCs w:val="20"/>
              </w:rPr>
              <w:t>кур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</w:t>
            </w:r>
          </w:p>
        </w:tc>
        <w:tc>
          <w:tcPr>
            <w:tcW w:w="1350" w:type="dxa"/>
          </w:tcPr>
          <w:p w:rsidR="004F4BF3" w:rsidRPr="0051561C" w:rsidRDefault="004F4BF3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4F4BF3" w:rsidRPr="004F4BF3" w:rsidRDefault="004F4BF3" w:rsidP="00C71E3A">
            <w:pPr>
              <w:jc w:val="center"/>
              <w:rPr>
                <w:sz w:val="20"/>
                <w:szCs w:val="20"/>
              </w:rPr>
            </w:pPr>
            <w:r w:rsidRPr="004F4BF3">
              <w:rPr>
                <w:sz w:val="20"/>
                <w:szCs w:val="20"/>
              </w:rPr>
              <w:t>250</w:t>
            </w:r>
          </w:p>
        </w:tc>
        <w:tc>
          <w:tcPr>
            <w:tcW w:w="2066" w:type="dxa"/>
          </w:tcPr>
          <w:p w:rsidR="004F4BF3" w:rsidRDefault="004F4BF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</w:t>
            </w:r>
          </w:p>
        </w:tc>
        <w:tc>
          <w:tcPr>
            <w:tcW w:w="2607" w:type="dxa"/>
          </w:tcPr>
          <w:p w:rsidR="004F4BF3" w:rsidRDefault="004F4BF3" w:rsidP="004F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39 250,00</w:t>
            </w:r>
          </w:p>
        </w:tc>
      </w:tr>
      <w:tr w:rsidR="004F4BF3" w:rsidRPr="008A4E15" w:rsidTr="00C71E3A">
        <w:trPr>
          <w:trHeight w:val="257"/>
        </w:trPr>
        <w:tc>
          <w:tcPr>
            <w:tcW w:w="2802" w:type="dxa"/>
            <w:vAlign w:val="center"/>
          </w:tcPr>
          <w:p w:rsidR="004F4BF3" w:rsidRPr="005D5CCB" w:rsidRDefault="004F4BF3" w:rsidP="004F4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Грудка</w:t>
            </w:r>
            <w:r w:rsidRPr="005D5CCB">
              <w:rPr>
                <w:sz w:val="20"/>
                <w:szCs w:val="20"/>
              </w:rPr>
              <w:t xml:space="preserve"> кур</w:t>
            </w:r>
            <w:r>
              <w:rPr>
                <w:sz w:val="20"/>
                <w:szCs w:val="20"/>
              </w:rPr>
              <w:t>иная</w:t>
            </w:r>
          </w:p>
        </w:tc>
        <w:tc>
          <w:tcPr>
            <w:tcW w:w="1350" w:type="dxa"/>
          </w:tcPr>
          <w:p w:rsidR="004F4BF3" w:rsidRPr="0051561C" w:rsidRDefault="004F4BF3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4F4BF3" w:rsidRPr="0051561C" w:rsidRDefault="004F4BF3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66" w:type="dxa"/>
          </w:tcPr>
          <w:p w:rsidR="004F4BF3" w:rsidRDefault="004F4BF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186,33</w:t>
            </w:r>
          </w:p>
        </w:tc>
        <w:tc>
          <w:tcPr>
            <w:tcW w:w="2607" w:type="dxa"/>
          </w:tcPr>
          <w:p w:rsidR="004F4BF3" w:rsidRDefault="004F4BF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37 266,00</w:t>
            </w:r>
          </w:p>
        </w:tc>
      </w:tr>
      <w:tr w:rsidR="00C71E3A" w:rsidRPr="008A4E15" w:rsidTr="004F4BF3">
        <w:trPr>
          <w:trHeight w:val="257"/>
        </w:trPr>
        <w:tc>
          <w:tcPr>
            <w:tcW w:w="7817" w:type="dxa"/>
            <w:gridSpan w:val="4"/>
          </w:tcPr>
          <w:p w:rsidR="00C71E3A" w:rsidRDefault="00C71E3A" w:rsidP="00C71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</w:tcPr>
          <w:p w:rsidR="00C71E3A" w:rsidRDefault="004F4BF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76 516,00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lastRenderedPageBreak/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lastRenderedPageBreak/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4F4BF3" w:rsidRPr="006A14D6" w:rsidRDefault="004F4BF3" w:rsidP="004F4BF3">
      <w:pPr>
        <w:tabs>
          <w:tab w:val="left" w:pos="1276"/>
        </w:tabs>
        <w:jc w:val="both"/>
        <w:rPr>
          <w:sz w:val="20"/>
          <w:szCs w:val="20"/>
        </w:rPr>
      </w:pPr>
    </w:p>
    <w:p w:rsidR="004F4BF3" w:rsidRPr="006A14D6" w:rsidRDefault="004F4BF3" w:rsidP="004F4BF3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4F4BF3" w:rsidRPr="00301B5C" w:rsidRDefault="004F4BF3" w:rsidP="004F4BF3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1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4F4BF3" w:rsidRPr="006A14D6" w:rsidRDefault="004F4BF3" w:rsidP="004F4BF3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4F4BF3" w:rsidRPr="006A14D6" w:rsidRDefault="004F4BF3" w:rsidP="004F4BF3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4F4BF3" w:rsidRPr="006A14D6" w:rsidRDefault="004F4BF3" w:rsidP="004F4BF3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4F4BF3" w:rsidRDefault="004F4BF3" w:rsidP="004F4BF3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4F4BF3" w:rsidRPr="006A14D6" w:rsidRDefault="004F4BF3" w:rsidP="004F4BF3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4F4BF3" w:rsidRDefault="004F4BF3" w:rsidP="004F4BF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4F4BF3" w:rsidRPr="006A14D6" w:rsidRDefault="004F4BF3" w:rsidP="004F4BF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4F4BF3" w:rsidRPr="006A14D6" w:rsidRDefault="004F4BF3" w:rsidP="004F4BF3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4F4BF3" w:rsidRPr="006A14D6" w:rsidRDefault="004F4BF3" w:rsidP="004F4BF3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4F4BF3" w:rsidRPr="006A14D6" w:rsidRDefault="004F4BF3" w:rsidP="004F4BF3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4F4BF3" w:rsidRPr="006A14D6" w:rsidRDefault="004F4BF3" w:rsidP="004F4BF3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4F4BF3" w:rsidRPr="006A14D6" w:rsidRDefault="004F4BF3" w:rsidP="004F4BF3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4F4BF3" w:rsidRPr="006A14D6" w:rsidRDefault="004F4BF3" w:rsidP="004F4BF3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4F4BF3" w:rsidRPr="006A14D6" w:rsidRDefault="004F4BF3" w:rsidP="004F4BF3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29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октября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4F4BF3" w:rsidRPr="006A14D6" w:rsidRDefault="004F4BF3" w:rsidP="004F4BF3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05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ноября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</w:t>
      </w:r>
      <w:r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4F4BF3" w:rsidRPr="006A14D6" w:rsidRDefault="004F4BF3" w:rsidP="004F4BF3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29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октября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4F4BF3" w:rsidRPr="006A14D6" w:rsidRDefault="004F4BF3" w:rsidP="004F4BF3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02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ноября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4F4BF3" w:rsidRPr="006A14D6" w:rsidRDefault="004F4BF3" w:rsidP="004F4BF3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</w:t>
      </w:r>
      <w:r w:rsidRPr="006A14D6">
        <w:rPr>
          <w:sz w:val="20"/>
          <w:szCs w:val="20"/>
        </w:rPr>
        <w:lastRenderedPageBreak/>
        <w:t>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4F4BF3" w:rsidRPr="00705002" w:rsidRDefault="004F4BF3" w:rsidP="004F4BF3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06</w:t>
      </w:r>
      <w:r w:rsidRPr="0070500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ноября</w:t>
      </w:r>
      <w:r w:rsidRPr="00705002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4F4BF3" w:rsidRPr="006A14D6" w:rsidRDefault="004F4BF3" w:rsidP="004F4BF3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4F4BF3" w:rsidRPr="006A14D6" w:rsidRDefault="004F4BF3" w:rsidP="004F4BF3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4F4BF3" w:rsidRPr="006A14D6" w:rsidRDefault="004F4BF3" w:rsidP="004F4BF3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</w:t>
      </w:r>
      <w:r w:rsidRPr="006A14D6">
        <w:rPr>
          <w:sz w:val="20"/>
          <w:szCs w:val="20"/>
        </w:rPr>
        <w:lastRenderedPageBreak/>
        <w:t xml:space="preserve">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4F4BF3" w:rsidRDefault="004F4BF3" w:rsidP="004F4BF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4F4BF3" w:rsidRDefault="004F4BF3" w:rsidP="004F4BF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4F4BF3" w:rsidRDefault="004F4BF3" w:rsidP="004F4BF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4F4BF3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И.о. н</w:t>
      </w:r>
      <w:r w:rsidR="00352B01" w:rsidRPr="006A14D6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352B01" w:rsidRPr="006A14D6">
        <w:rPr>
          <w:sz w:val="20"/>
          <w:szCs w:val="20"/>
        </w:rPr>
        <w:t xml:space="preserve"> КС</w:t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>
        <w:rPr>
          <w:sz w:val="20"/>
          <w:szCs w:val="20"/>
        </w:rPr>
        <w:t>О.А. Гаршина</w:t>
      </w: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4F4BF3">
        <w:rPr>
          <w:sz w:val="20"/>
          <w:szCs w:val="20"/>
        </w:rPr>
        <w:t>84</w:t>
      </w:r>
      <w:r w:rsidRPr="006A14D6">
        <w:rPr>
          <w:sz w:val="20"/>
          <w:szCs w:val="20"/>
        </w:rPr>
        <w:t>-ЗК от «</w:t>
      </w:r>
      <w:r w:rsidR="004F4BF3">
        <w:rPr>
          <w:sz w:val="20"/>
          <w:szCs w:val="20"/>
        </w:rPr>
        <w:t>28</w:t>
      </w:r>
      <w:r w:rsidRPr="006A14D6">
        <w:rPr>
          <w:sz w:val="20"/>
          <w:szCs w:val="20"/>
        </w:rPr>
        <w:t xml:space="preserve">» </w:t>
      </w:r>
      <w:r w:rsidR="004F4BF3">
        <w:rPr>
          <w:sz w:val="20"/>
          <w:szCs w:val="20"/>
        </w:rPr>
        <w:t>октября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0C4823">
        <w:rPr>
          <w:b/>
          <w:color w:val="FF0000"/>
          <w:sz w:val="20"/>
          <w:szCs w:val="20"/>
        </w:rPr>
        <w:t>84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0C4823">
        <w:rPr>
          <w:b/>
          <w:color w:val="FF0000"/>
          <w:sz w:val="20"/>
          <w:szCs w:val="20"/>
        </w:rPr>
        <w:t>28</w:t>
      </w:r>
      <w:r w:rsidRPr="00F80490">
        <w:rPr>
          <w:b/>
          <w:color w:val="FF0000"/>
          <w:sz w:val="20"/>
          <w:szCs w:val="20"/>
        </w:rPr>
        <w:t>.</w:t>
      </w:r>
      <w:r w:rsidR="000C4823">
        <w:rPr>
          <w:b/>
          <w:color w:val="FF0000"/>
          <w:sz w:val="20"/>
          <w:szCs w:val="20"/>
        </w:rPr>
        <w:t>1</w:t>
      </w:r>
      <w:r w:rsidR="000E7FEE">
        <w:rPr>
          <w:b/>
          <w:color w:val="FF0000"/>
          <w:sz w:val="20"/>
          <w:szCs w:val="20"/>
        </w:rPr>
        <w:t>0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0C4823">
        <w:rPr>
          <w:sz w:val="20"/>
          <w:szCs w:val="20"/>
        </w:rPr>
        <w:t>84</w:t>
      </w:r>
      <w:r w:rsidRPr="006A14D6">
        <w:rPr>
          <w:sz w:val="20"/>
          <w:szCs w:val="20"/>
        </w:rPr>
        <w:t>-ЗК от «</w:t>
      </w:r>
      <w:r w:rsidR="000C4823">
        <w:rPr>
          <w:sz w:val="20"/>
          <w:szCs w:val="20"/>
        </w:rPr>
        <w:t>28</w:t>
      </w:r>
      <w:r w:rsidRPr="006A14D6">
        <w:rPr>
          <w:sz w:val="20"/>
          <w:szCs w:val="20"/>
        </w:rPr>
        <w:t xml:space="preserve">» </w:t>
      </w:r>
      <w:r w:rsidR="000C4823">
        <w:rPr>
          <w:sz w:val="20"/>
          <w:szCs w:val="20"/>
        </w:rPr>
        <w:t>октябр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92" w:rsidRDefault="00EF5B92">
      <w:r>
        <w:separator/>
      </w:r>
    </w:p>
  </w:endnote>
  <w:endnote w:type="continuationSeparator" w:id="0">
    <w:p w:rsidR="00EF5B92" w:rsidRDefault="00EF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F3" w:rsidRDefault="004F4BF3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4823">
      <w:rPr>
        <w:rStyle w:val="a9"/>
        <w:noProof/>
      </w:rPr>
      <w:t>5</w:t>
    </w:r>
    <w:r>
      <w:rPr>
        <w:rStyle w:val="a9"/>
      </w:rPr>
      <w:fldChar w:fldCharType="end"/>
    </w:r>
  </w:p>
  <w:p w:rsidR="004F4BF3" w:rsidRDefault="004F4BF3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92" w:rsidRDefault="00EF5B92">
      <w:r>
        <w:separator/>
      </w:r>
    </w:p>
  </w:footnote>
  <w:footnote w:type="continuationSeparator" w:id="0">
    <w:p w:rsidR="00EF5B92" w:rsidRDefault="00EF5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82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4BF3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53A7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E686C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57B2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5B92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267D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139C-8EB0-4422-B4F9-4005318B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9</Pages>
  <Words>6018</Words>
  <Characters>34306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40244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252</cp:revision>
  <cp:lastPrinted>2011-12-07T05:49:00Z</cp:lastPrinted>
  <dcterms:created xsi:type="dcterms:W3CDTF">2014-05-27T01:29:00Z</dcterms:created>
  <dcterms:modified xsi:type="dcterms:W3CDTF">2020-10-28T05:09:00Z</dcterms:modified>
</cp:coreProperties>
</file>